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cs="Calibri" w:eastAsia="Calibri"/>
          <w:sz w:val="24"/>
          <w:szCs w:val="24"/>
        </w:rPr>
      </w:pPr>
      <w:r>
        <w:rPr>
          <w:rFonts w:cs="Calibri" w:eastAsia="Calibri"/>
          <w:sz w:val="24"/>
          <w:szCs w:val="24"/>
        </w:rPr>
        <w:t xml:space="preserve">Student’s name                                                                                                                                  </w:t>
      </w:r>
    </w:p>
    <w:p>
      <w:pPr>
        <w:pStyle w:val="style0"/>
        <w:spacing w:lineRule="auto" w:line="480"/>
        <w:jc w:val="both"/>
        <w:rPr>
          <w:rFonts w:cs="Calibri" w:eastAsia="Calibri"/>
          <w:sz w:val="24"/>
          <w:szCs w:val="24"/>
        </w:rPr>
      </w:pPr>
      <w:r>
        <w:rPr>
          <w:rFonts w:cs="Calibri" w:eastAsia="Calibri"/>
          <w:sz w:val="24"/>
          <w:szCs w:val="24"/>
        </w:rPr>
        <w:t>Lecturer’s name</w:t>
      </w:r>
      <w:bookmarkStart w:id="0" w:name="_GoBack"/>
      <w:bookmarkEnd w:id="0"/>
    </w:p>
    <w:p>
      <w:pPr>
        <w:pStyle w:val="style0"/>
        <w:spacing w:lineRule="auto" w:line="480"/>
        <w:jc w:val="both"/>
        <w:rPr>
          <w:rFonts w:cs="Calibri" w:eastAsia="Calibri"/>
          <w:sz w:val="24"/>
          <w:szCs w:val="24"/>
        </w:rPr>
      </w:pPr>
      <w:r>
        <w:rPr>
          <w:rFonts w:cs="Calibri" w:eastAsia="Calibri"/>
          <w:sz w:val="24"/>
          <w:szCs w:val="24"/>
        </w:rPr>
        <w:t>Affiliation</w:t>
      </w:r>
    </w:p>
    <w:p>
      <w:pPr>
        <w:pStyle w:val="style0"/>
        <w:spacing w:lineRule="auto" w:line="480"/>
        <w:jc w:val="both"/>
        <w:rPr>
          <w:rFonts w:cs="Calibri" w:eastAsia="Calibri"/>
          <w:sz w:val="24"/>
          <w:szCs w:val="24"/>
        </w:rPr>
      </w:pPr>
      <w:r>
        <w:rPr>
          <w:rFonts w:cs="Calibri" w:eastAsia="Calibri"/>
          <w:sz w:val="24"/>
          <w:szCs w:val="24"/>
        </w:rPr>
        <w:t>Unit name &amp; code</w:t>
      </w:r>
    </w:p>
    <w:p>
      <w:pPr>
        <w:pStyle w:val="style0"/>
        <w:jc w:val="both"/>
        <w:rPr>
          <w:rFonts w:cs="Calibri" w:eastAsia="Calibri"/>
          <w:sz w:val="24"/>
          <w:szCs w:val="24"/>
        </w:rPr>
      </w:pPr>
      <w:r>
        <w:rPr>
          <w:rFonts w:cs="Calibri" w:eastAsia="Calibri"/>
          <w:sz w:val="24"/>
          <w:szCs w:val="24"/>
        </w:rPr>
        <w:t>Date of submission</w:t>
      </w:r>
    </w:p>
    <w:p>
      <w:pPr>
        <w:pStyle w:val="style0"/>
        <w:jc w:val="both"/>
        <w:rPr>
          <w:rFonts w:ascii="Times New Roman" w:cs="Times New Roman" w:eastAsia="Calibri" w:hAnsi="Times New Roman"/>
          <w:sz w:val="24"/>
          <w:szCs w:val="24"/>
        </w:rPr>
      </w:pPr>
    </w:p>
    <w:p>
      <w:pPr>
        <w:pStyle w:val="style0"/>
        <w:spacing w:lineRule="auto" w:line="480"/>
        <w:ind w:firstLine="720"/>
        <w:rPr>
          <w:rFonts w:cs="Calibri"/>
          <w:sz w:val="24"/>
          <w:szCs w:val="24"/>
        </w:rPr>
      </w:pPr>
      <w:r>
        <w:rPr>
          <w:rFonts w:cs="Calibri"/>
          <w:sz w:val="24"/>
          <w:szCs w:val="24"/>
        </w:rPr>
        <w:t xml:space="preserve">Internationally, </w:t>
      </w:r>
      <w:r>
        <w:rPr>
          <w:rFonts w:cs="Calibri"/>
          <w:sz w:val="24"/>
          <w:szCs w:val="24"/>
        </w:rPr>
        <w:t>institution</w:t>
      </w:r>
      <w:r>
        <w:rPr>
          <w:rFonts w:cs="Calibri"/>
          <w:sz w:val="24"/>
          <w:szCs w:val="24"/>
        </w:rPr>
        <w:t xml:space="preserve"> </w:t>
      </w:r>
      <w:r>
        <w:rPr>
          <w:rFonts w:cs="Calibri"/>
          <w:sz w:val="24"/>
          <w:szCs w:val="24"/>
        </w:rPr>
        <w:t>management</w:t>
      </w:r>
      <w:r>
        <w:rPr>
          <w:rFonts w:cs="Calibri"/>
          <w:sz w:val="24"/>
          <w:szCs w:val="24"/>
        </w:rPr>
        <w:t xml:space="preserve"> has </w:t>
      </w:r>
      <w:r>
        <w:rPr>
          <w:rFonts w:cs="Calibri"/>
          <w:sz w:val="24"/>
          <w:szCs w:val="24"/>
        </w:rPr>
        <w:t>remained</w:t>
      </w:r>
      <w:r>
        <w:rPr>
          <w:rFonts w:cs="Calibri"/>
          <w:sz w:val="24"/>
          <w:szCs w:val="24"/>
        </w:rPr>
        <w:t xml:space="preserve"> a </w:t>
      </w:r>
      <w:r>
        <w:rPr>
          <w:rFonts w:cs="Calibri"/>
          <w:sz w:val="24"/>
          <w:szCs w:val="24"/>
        </w:rPr>
        <w:t xml:space="preserve">centre </w:t>
      </w:r>
      <w:r>
        <w:rPr>
          <w:rFonts w:cs="Calibri"/>
          <w:sz w:val="24"/>
          <w:szCs w:val="24"/>
        </w:rPr>
        <w:t>concentration</w:t>
      </w:r>
      <w:r>
        <w:rPr>
          <w:rFonts w:cs="Calibri"/>
          <w:sz w:val="24"/>
          <w:szCs w:val="24"/>
        </w:rPr>
        <w:t xml:space="preserve"> in the </w:t>
      </w:r>
      <w:r>
        <w:rPr>
          <w:rFonts w:cs="Calibri"/>
          <w:sz w:val="24"/>
          <w:szCs w:val="24"/>
        </w:rPr>
        <w:t>learning</w:t>
      </w:r>
      <w:r>
        <w:rPr>
          <w:rFonts w:cs="Calibri"/>
          <w:sz w:val="24"/>
          <w:szCs w:val="24"/>
        </w:rPr>
        <w:t xml:space="preserve"> </w:t>
      </w:r>
      <w:r>
        <w:rPr>
          <w:rFonts w:cs="Calibri"/>
          <w:sz w:val="24"/>
          <w:szCs w:val="24"/>
        </w:rPr>
        <w:t>course of action</w:t>
      </w:r>
      <w:r>
        <w:rPr>
          <w:rFonts w:cs="Calibri"/>
          <w:sz w:val="24"/>
          <w:szCs w:val="24"/>
        </w:rPr>
        <w:t xml:space="preserve"> agendas. It </w:t>
      </w:r>
      <w:r>
        <w:rPr>
          <w:rFonts w:cs="Calibri"/>
          <w:sz w:val="24"/>
          <w:szCs w:val="24"/>
        </w:rPr>
        <w:t>impacts</w:t>
      </w:r>
      <w:r>
        <w:rPr>
          <w:rFonts w:cs="Calibri"/>
          <w:sz w:val="24"/>
          <w:szCs w:val="24"/>
        </w:rPr>
        <w:t xml:space="preserve"> the motivations and capacities of </w:t>
      </w:r>
      <w:r>
        <w:rPr>
          <w:rFonts w:cs="Calibri"/>
          <w:sz w:val="24"/>
          <w:szCs w:val="24"/>
        </w:rPr>
        <w:t>instructors</w:t>
      </w:r>
      <w:r>
        <w:rPr>
          <w:rFonts w:cs="Calibri"/>
          <w:sz w:val="24"/>
          <w:szCs w:val="24"/>
        </w:rPr>
        <w:t xml:space="preserve"> and the </w:t>
      </w:r>
      <w:r>
        <w:rPr>
          <w:rFonts w:cs="Calibri"/>
          <w:sz w:val="24"/>
          <w:szCs w:val="24"/>
        </w:rPr>
        <w:t>institute</w:t>
      </w:r>
      <w:r>
        <w:rPr>
          <w:rFonts w:cs="Calibri"/>
          <w:sz w:val="24"/>
          <w:szCs w:val="24"/>
        </w:rPr>
        <w:t xml:space="preserve"> atmosphere and </w:t>
      </w:r>
      <w:r>
        <w:rPr>
          <w:rFonts w:cs="Calibri"/>
          <w:sz w:val="24"/>
          <w:szCs w:val="24"/>
        </w:rPr>
        <w:t>surroundings</w:t>
      </w:r>
      <w:r>
        <w:rPr>
          <w:rFonts w:cs="Calibri"/>
          <w:sz w:val="24"/>
          <w:szCs w:val="24"/>
        </w:rPr>
        <w:t xml:space="preserve"> to </w:t>
      </w:r>
      <w:r>
        <w:rPr>
          <w:rFonts w:cs="Calibri"/>
          <w:sz w:val="24"/>
          <w:szCs w:val="24"/>
        </w:rPr>
        <w:t>advance</w:t>
      </w:r>
      <w:r>
        <w:rPr>
          <w:rFonts w:cs="Calibri"/>
          <w:sz w:val="24"/>
          <w:szCs w:val="24"/>
        </w:rPr>
        <w:t xml:space="preserve"> school </w:t>
      </w:r>
      <w:r>
        <w:rPr>
          <w:rFonts w:cs="Calibri"/>
          <w:sz w:val="24"/>
          <w:szCs w:val="24"/>
        </w:rPr>
        <w:t>aftermaths</w:t>
      </w:r>
      <w:r>
        <w:rPr>
          <w:rFonts w:cs="Calibri"/>
          <w:sz w:val="24"/>
          <w:szCs w:val="24"/>
        </w:rPr>
        <w:t xml:space="preserve">. To </w:t>
      </w:r>
      <w:r>
        <w:rPr>
          <w:rFonts w:cs="Calibri"/>
          <w:sz w:val="24"/>
          <w:szCs w:val="24"/>
        </w:rPr>
        <w:t>progress</w:t>
      </w:r>
      <w:r>
        <w:rPr>
          <w:rFonts w:cs="Calibri"/>
          <w:sz w:val="24"/>
          <w:szCs w:val="24"/>
        </w:rPr>
        <w:t xml:space="preserve"> the efficiency and equity of </w:t>
      </w:r>
      <w:r>
        <w:rPr>
          <w:rFonts w:cs="Calibri"/>
          <w:sz w:val="24"/>
          <w:szCs w:val="24"/>
        </w:rPr>
        <w:t>schooling</w:t>
      </w:r>
      <w:r>
        <w:rPr>
          <w:rFonts w:cs="Calibri"/>
          <w:sz w:val="24"/>
          <w:szCs w:val="24"/>
        </w:rPr>
        <w:t xml:space="preserve">, effective </w:t>
      </w:r>
      <w:r>
        <w:rPr>
          <w:rFonts w:cs="Calibri"/>
          <w:sz w:val="24"/>
          <w:szCs w:val="24"/>
        </w:rPr>
        <w:t>institute</w:t>
      </w:r>
      <w:r>
        <w:rPr>
          <w:rFonts w:cs="Calibri"/>
          <w:sz w:val="24"/>
          <w:szCs w:val="24"/>
        </w:rPr>
        <w:t xml:space="preserve"> </w:t>
      </w:r>
      <w:r>
        <w:rPr>
          <w:rFonts w:cs="Calibri"/>
          <w:sz w:val="24"/>
          <w:szCs w:val="24"/>
        </w:rPr>
        <w:t>management</w:t>
      </w:r>
      <w:r>
        <w:rPr>
          <w:rFonts w:cs="Calibri"/>
          <w:sz w:val="24"/>
          <w:szCs w:val="24"/>
        </w:rPr>
        <w:t xml:space="preserve"> is required. Expectations for </w:t>
      </w:r>
      <w:r>
        <w:rPr>
          <w:rFonts w:cs="Calibri"/>
          <w:sz w:val="24"/>
          <w:szCs w:val="24"/>
        </w:rPr>
        <w:t>institutes</w:t>
      </w:r>
      <w:r>
        <w:rPr>
          <w:rFonts w:cs="Calibri"/>
          <w:sz w:val="24"/>
          <w:szCs w:val="24"/>
        </w:rPr>
        <w:t xml:space="preserve"> and school </w:t>
      </w:r>
      <w:r>
        <w:rPr>
          <w:rFonts w:cs="Calibri"/>
          <w:sz w:val="24"/>
          <w:szCs w:val="24"/>
        </w:rPr>
        <w:t>frontrunners</w:t>
      </w:r>
      <w:r>
        <w:rPr>
          <w:rFonts w:cs="Calibri"/>
          <w:sz w:val="24"/>
          <w:szCs w:val="24"/>
        </w:rPr>
        <w:t xml:space="preserve"> are </w:t>
      </w:r>
      <w:r>
        <w:rPr>
          <w:rFonts w:cs="Calibri"/>
          <w:sz w:val="24"/>
          <w:szCs w:val="24"/>
        </w:rPr>
        <w:t>ever-changing</w:t>
      </w:r>
      <w:r>
        <w:rPr>
          <w:rFonts w:cs="Calibri"/>
          <w:sz w:val="24"/>
          <w:szCs w:val="24"/>
        </w:rPr>
        <w:t xml:space="preserve"> as </w:t>
      </w:r>
      <w:r>
        <w:rPr>
          <w:rFonts w:cs="Calibri"/>
          <w:sz w:val="24"/>
          <w:szCs w:val="24"/>
        </w:rPr>
        <w:t>states</w:t>
      </w:r>
      <w:r>
        <w:rPr>
          <w:rFonts w:cs="Calibri"/>
          <w:sz w:val="24"/>
          <w:szCs w:val="24"/>
        </w:rPr>
        <w:t xml:space="preserve"> </w:t>
      </w:r>
      <w:r>
        <w:rPr>
          <w:rFonts w:cs="Calibri"/>
          <w:sz w:val="24"/>
          <w:szCs w:val="24"/>
        </w:rPr>
        <w:t>endeavor</w:t>
      </w:r>
      <w:r>
        <w:rPr>
          <w:rFonts w:cs="Calibri"/>
          <w:sz w:val="24"/>
          <w:szCs w:val="24"/>
        </w:rPr>
        <w:t xml:space="preserve"> to adapt their </w:t>
      </w:r>
      <w:r>
        <w:rPr>
          <w:rFonts w:cs="Calibri"/>
          <w:sz w:val="24"/>
          <w:szCs w:val="24"/>
        </w:rPr>
        <w:t>learning</w:t>
      </w:r>
      <w:r>
        <w:rPr>
          <w:rFonts w:cs="Calibri"/>
          <w:sz w:val="24"/>
          <w:szCs w:val="24"/>
        </w:rPr>
        <w:t xml:space="preserve"> </w:t>
      </w:r>
      <w:r>
        <w:rPr>
          <w:rFonts w:cs="Calibri"/>
          <w:sz w:val="24"/>
          <w:szCs w:val="24"/>
        </w:rPr>
        <w:t>establishments</w:t>
      </w:r>
      <w:r>
        <w:rPr>
          <w:rFonts w:cs="Calibri"/>
          <w:sz w:val="24"/>
          <w:szCs w:val="24"/>
        </w:rPr>
        <w:t xml:space="preserve"> to the needs of </w:t>
      </w:r>
      <w:r>
        <w:rPr>
          <w:rFonts w:cs="Calibri"/>
          <w:sz w:val="24"/>
          <w:szCs w:val="24"/>
        </w:rPr>
        <w:t>contemporary</w:t>
      </w:r>
      <w:r>
        <w:rPr>
          <w:rFonts w:cs="Calibri"/>
          <w:sz w:val="24"/>
          <w:szCs w:val="24"/>
        </w:rPr>
        <w:t xml:space="preserve"> societ</w:t>
      </w:r>
      <w:r>
        <w:rPr>
          <w:rFonts w:cs="Calibri"/>
          <w:sz w:val="24"/>
          <w:szCs w:val="24"/>
        </w:rPr>
        <w:t xml:space="preserve">y. Many countries have moved toward </w:t>
      </w:r>
      <w:r>
        <w:rPr>
          <w:rFonts w:cs="Calibri"/>
          <w:sz w:val="24"/>
          <w:szCs w:val="24"/>
        </w:rPr>
        <w:t>regionalization</w:t>
      </w:r>
      <w:r>
        <w:rPr>
          <w:rFonts w:cs="Calibri"/>
          <w:sz w:val="24"/>
          <w:szCs w:val="24"/>
        </w:rPr>
        <w:t xml:space="preserve">, allowing </w:t>
      </w:r>
      <w:r>
        <w:rPr>
          <w:rFonts w:cs="Calibri"/>
          <w:sz w:val="24"/>
          <w:szCs w:val="24"/>
        </w:rPr>
        <w:t>institutes</w:t>
      </w:r>
      <w:r>
        <w:rPr>
          <w:rFonts w:cs="Calibri"/>
          <w:sz w:val="24"/>
          <w:szCs w:val="24"/>
        </w:rPr>
        <w:t xml:space="preserve"> to make more independent </w:t>
      </w:r>
      <w:r>
        <w:rPr>
          <w:rFonts w:cs="Calibri"/>
          <w:sz w:val="24"/>
          <w:szCs w:val="24"/>
        </w:rPr>
        <w:t>resolutions</w:t>
      </w:r>
      <w:r>
        <w:rPr>
          <w:rFonts w:cs="Calibri"/>
          <w:sz w:val="24"/>
          <w:szCs w:val="24"/>
        </w:rPr>
        <w:t xml:space="preserve"> and hold them </w:t>
      </w:r>
      <w:r>
        <w:rPr>
          <w:rFonts w:cs="Calibri"/>
          <w:sz w:val="24"/>
          <w:szCs w:val="24"/>
        </w:rPr>
        <w:t>responsible</w:t>
      </w:r>
      <w:r>
        <w:rPr>
          <w:rFonts w:cs="Calibri"/>
          <w:sz w:val="24"/>
          <w:szCs w:val="24"/>
        </w:rPr>
        <w:t xml:space="preserve"> for their </w:t>
      </w:r>
      <w:r>
        <w:rPr>
          <w:rFonts w:cs="Calibri"/>
          <w:sz w:val="24"/>
          <w:szCs w:val="24"/>
        </w:rPr>
        <w:t>results</w:t>
      </w:r>
      <w:r>
        <w:rPr>
          <w:rFonts w:cs="Calibri"/>
          <w:sz w:val="24"/>
          <w:szCs w:val="24"/>
        </w:rPr>
        <w:t xml:space="preserve">. </w:t>
      </w:r>
      <w:r>
        <w:rPr>
          <w:rFonts w:cs="Calibri"/>
          <w:sz w:val="24"/>
          <w:szCs w:val="24"/>
        </w:rPr>
        <w:t>At a</w:t>
      </w:r>
      <w:r>
        <w:rPr>
          <w:rFonts w:cs="Calibri"/>
          <w:sz w:val="24"/>
          <w:szCs w:val="24"/>
        </w:rPr>
        <w:t xml:space="preserve"> </w:t>
      </w:r>
      <w:r>
        <w:rPr>
          <w:rFonts w:cs="Calibri"/>
          <w:sz w:val="24"/>
          <w:szCs w:val="24"/>
        </w:rPr>
        <w:t>similar</w:t>
      </w:r>
      <w:r>
        <w:rPr>
          <w:rFonts w:cs="Calibri"/>
          <w:sz w:val="24"/>
          <w:szCs w:val="24"/>
        </w:rPr>
        <w:t xml:space="preserve"> </w:t>
      </w:r>
      <w:r>
        <w:rPr>
          <w:rFonts w:cs="Calibri"/>
          <w:sz w:val="24"/>
          <w:szCs w:val="24"/>
        </w:rPr>
        <w:t>period</w:t>
      </w:r>
      <w:r>
        <w:rPr>
          <w:rFonts w:cs="Calibri"/>
          <w:sz w:val="24"/>
          <w:szCs w:val="24"/>
        </w:rPr>
        <w:t xml:space="preserve">, </w:t>
      </w:r>
      <w:r>
        <w:rPr>
          <w:rFonts w:cs="Calibri"/>
          <w:sz w:val="24"/>
          <w:szCs w:val="24"/>
        </w:rPr>
        <w:t>institutes</w:t>
      </w:r>
      <w:r>
        <w:rPr>
          <w:rFonts w:cs="Calibri"/>
          <w:sz w:val="24"/>
          <w:szCs w:val="24"/>
        </w:rPr>
        <w:t xml:space="preserve"> are </w:t>
      </w:r>
      <w:r>
        <w:rPr>
          <w:rFonts w:cs="Calibri"/>
          <w:sz w:val="24"/>
          <w:szCs w:val="24"/>
        </w:rPr>
        <w:t>burden</w:t>
      </w:r>
      <w:r>
        <w:rPr>
          <w:rFonts w:cs="Calibri"/>
          <w:sz w:val="24"/>
          <w:szCs w:val="24"/>
        </w:rPr>
        <w:t>ed with utilizing more experiential</w:t>
      </w:r>
      <w:r>
        <w:rPr>
          <w:rFonts w:cs="Calibri"/>
          <w:sz w:val="24"/>
          <w:szCs w:val="24"/>
        </w:rPr>
        <w:t xml:space="preserve"> teaching approaches </w:t>
      </w:r>
      <w:r>
        <w:rPr>
          <w:rFonts w:cs="Calibri"/>
          <w:sz w:val="24"/>
          <w:szCs w:val="24"/>
        </w:rPr>
        <w:t>to</w:t>
      </w:r>
      <w:r>
        <w:rPr>
          <w:rFonts w:cs="Calibri"/>
          <w:sz w:val="24"/>
          <w:szCs w:val="24"/>
        </w:rPr>
        <w:t xml:space="preserve"> </w:t>
      </w:r>
      <w:r>
        <w:rPr>
          <w:rFonts w:cs="Calibri"/>
          <w:sz w:val="24"/>
          <w:szCs w:val="24"/>
        </w:rPr>
        <w:t xml:space="preserve">enhance </w:t>
      </w:r>
      <w:r>
        <w:rPr>
          <w:rFonts w:cs="Calibri"/>
          <w:sz w:val="24"/>
          <w:szCs w:val="24"/>
        </w:rPr>
        <w:t>general</w:t>
      </w:r>
      <w:r>
        <w:rPr>
          <w:rFonts w:cs="Calibri"/>
          <w:sz w:val="24"/>
          <w:szCs w:val="24"/>
        </w:rPr>
        <w:t xml:space="preserve"> </w:t>
      </w:r>
      <w:r>
        <w:rPr>
          <w:rFonts w:cs="Calibri"/>
          <w:sz w:val="24"/>
          <w:szCs w:val="24"/>
        </w:rPr>
        <w:t>learner</w:t>
      </w:r>
      <w:r>
        <w:rPr>
          <w:rFonts w:cs="Calibri"/>
          <w:sz w:val="24"/>
          <w:szCs w:val="24"/>
        </w:rPr>
        <w:t xml:space="preserve"> performance while serving more </w:t>
      </w:r>
      <w:r>
        <w:rPr>
          <w:rFonts w:cs="Calibri"/>
          <w:sz w:val="24"/>
          <w:szCs w:val="24"/>
        </w:rPr>
        <w:t>assorted</w:t>
      </w:r>
      <w:r>
        <w:rPr>
          <w:rFonts w:cs="Calibri"/>
          <w:sz w:val="24"/>
          <w:szCs w:val="24"/>
        </w:rPr>
        <w:t xml:space="preserve"> </w:t>
      </w:r>
      <w:r>
        <w:rPr>
          <w:rFonts w:cs="Calibri"/>
          <w:sz w:val="24"/>
          <w:szCs w:val="24"/>
        </w:rPr>
        <w:t>learner</w:t>
      </w:r>
      <w:r>
        <w:rPr>
          <w:rFonts w:cs="Calibri"/>
          <w:sz w:val="24"/>
          <w:szCs w:val="24"/>
        </w:rPr>
        <w:t xml:space="preserve"> </w:t>
      </w:r>
      <w:r>
        <w:rPr>
          <w:rFonts w:cs="Calibri"/>
          <w:sz w:val="24"/>
          <w:szCs w:val="24"/>
        </w:rPr>
        <w:t>populaces</w:t>
      </w:r>
      <w:r>
        <w:rPr>
          <w:rFonts w:cs="Calibri"/>
          <w:sz w:val="24"/>
          <w:szCs w:val="24"/>
        </w:rPr>
        <w:t xml:space="preserve">. As a result of these shifts, </w:t>
      </w:r>
      <w:r>
        <w:rPr>
          <w:rFonts w:cs="Calibri"/>
          <w:sz w:val="24"/>
          <w:szCs w:val="24"/>
        </w:rPr>
        <w:t>institute</w:t>
      </w:r>
      <w:r>
        <w:rPr>
          <w:rFonts w:cs="Calibri"/>
          <w:sz w:val="24"/>
          <w:szCs w:val="24"/>
        </w:rPr>
        <w:t xml:space="preserve"> </w:t>
      </w:r>
      <w:r>
        <w:rPr>
          <w:rFonts w:cs="Calibri"/>
          <w:sz w:val="24"/>
          <w:szCs w:val="24"/>
        </w:rPr>
        <w:t>management</w:t>
      </w:r>
      <w:r>
        <w:rPr>
          <w:rFonts w:cs="Calibri"/>
          <w:sz w:val="24"/>
          <w:szCs w:val="24"/>
        </w:rPr>
        <w:t xml:space="preserve"> is</w:t>
      </w:r>
      <w:r>
        <w:rPr>
          <w:rFonts w:cs="Calibri"/>
          <w:sz w:val="24"/>
          <w:szCs w:val="24"/>
        </w:rPr>
        <w:t xml:space="preserve"> increasingly defined by formidable</w:t>
      </w:r>
      <w:r>
        <w:rPr>
          <w:rFonts w:cs="Calibri"/>
          <w:sz w:val="24"/>
          <w:szCs w:val="24"/>
        </w:rPr>
        <w:t xml:space="preserve"> </w:t>
      </w:r>
      <w:r>
        <w:rPr>
          <w:rFonts w:cs="Calibri"/>
          <w:sz w:val="24"/>
          <w:szCs w:val="24"/>
        </w:rPr>
        <w:t>conventional</w:t>
      </w:r>
      <w:r>
        <w:rPr>
          <w:rFonts w:cs="Calibri"/>
          <w:sz w:val="24"/>
          <w:szCs w:val="24"/>
        </w:rPr>
        <w:t xml:space="preserve"> </w:t>
      </w:r>
      <w:r>
        <w:rPr>
          <w:rFonts w:cs="Calibri"/>
          <w:sz w:val="24"/>
          <w:szCs w:val="24"/>
        </w:rPr>
        <w:t xml:space="preserve">tasks, including </w:t>
      </w:r>
      <w:r>
        <w:rPr>
          <w:rFonts w:cs="Calibri"/>
          <w:sz w:val="24"/>
          <w:szCs w:val="24"/>
        </w:rPr>
        <w:t>monetary</w:t>
      </w:r>
      <w:r>
        <w:rPr>
          <w:rFonts w:cs="Calibri"/>
          <w:sz w:val="24"/>
          <w:szCs w:val="24"/>
        </w:rPr>
        <w:t xml:space="preserve"> and personnel</w:t>
      </w:r>
      <w:r>
        <w:rPr>
          <w:rFonts w:cs="Calibri"/>
          <w:sz w:val="24"/>
          <w:szCs w:val="24"/>
        </w:rPr>
        <w:t xml:space="preserve">, </w:t>
      </w:r>
      <w:r>
        <w:rPr>
          <w:rFonts w:cs="Calibri"/>
          <w:sz w:val="24"/>
          <w:szCs w:val="24"/>
        </w:rPr>
        <w:t>in addition to</w:t>
      </w:r>
      <w:r>
        <w:rPr>
          <w:rFonts w:cs="Calibri"/>
          <w:sz w:val="24"/>
          <w:szCs w:val="24"/>
        </w:rPr>
        <w:t xml:space="preserve"> learning </w:t>
      </w:r>
      <w:r>
        <w:rPr>
          <w:rFonts w:cs="Calibri"/>
          <w:sz w:val="24"/>
          <w:szCs w:val="24"/>
        </w:rPr>
        <w:t>management</w:t>
      </w:r>
      <w:r>
        <w:rPr>
          <w:rFonts w:cs="Calibri"/>
          <w:sz w:val="24"/>
          <w:szCs w:val="24"/>
        </w:rPr>
        <w:t>.</w:t>
      </w:r>
    </w:p>
    <w:p>
      <w:pPr>
        <w:pStyle w:val="style0"/>
        <w:spacing w:lineRule="auto" w:line="480"/>
        <w:ind w:firstLine="720"/>
        <w:rPr>
          <w:sz w:val="24"/>
          <w:szCs w:val="24"/>
        </w:rPr>
      </w:pPr>
      <w:r>
        <w:rPr>
          <w:sz w:val="24"/>
          <w:szCs w:val="24"/>
        </w:rPr>
        <w:t>Having been appointed as the principal and noticing some of the challenges that the Woodley Elementary school is experiencing, certain aspects have to be configured to rectify the situation and bring the school's situation. Therefore, goal(s) h</w:t>
      </w:r>
      <w:r>
        <w:rPr>
          <w:sz w:val="24"/>
          <w:szCs w:val="24"/>
        </w:rPr>
        <w:t xml:space="preserve">ave to be established to guide the </w:t>
      </w:r>
      <w:r>
        <w:rPr>
          <w:sz w:val="24"/>
          <w:szCs w:val="24"/>
        </w:rPr>
        <w:t xml:space="preserve">school in reconstituting its educational performance to fit into the duly </w:t>
      </w:r>
      <w:r>
        <w:rPr>
          <w:sz w:val="24"/>
          <w:szCs w:val="24"/>
        </w:rPr>
        <w:t xml:space="preserve">accustomed performance percentage that is considered for every school. The appropriate goal to be set </w:t>
      </w:r>
      <w:r>
        <w:rPr>
          <w:sz w:val="24"/>
          <w:szCs w:val="24"/>
        </w:rPr>
        <w:t>to foresee the procedure of improving the performance and leadership of the school will involve process, performance and outcome goals that will be both for short-term and long-term basis.</w:t>
      </w:r>
    </w:p>
    <w:p>
      <w:pPr>
        <w:pStyle w:val="style0"/>
        <w:spacing w:lineRule="auto" w:line="480"/>
        <w:ind w:firstLine="720"/>
        <w:rPr>
          <w:sz w:val="24"/>
          <w:szCs w:val="24"/>
        </w:rPr>
      </w:pPr>
      <w:r>
        <w:rPr>
          <w:sz w:val="24"/>
          <w:szCs w:val="24"/>
        </w:rPr>
        <w:t xml:space="preserve">The goal for this situation will be working towards excellence with motivation and aspiration of pushing beyond </w:t>
      </w:r>
      <w:r>
        <w:rPr>
          <w:sz w:val="24"/>
          <w:szCs w:val="24"/>
        </w:rPr>
        <w:t>limits to be better than the best with discipline, respect and God’s strength offering quality education for the children and prepare them for further education. The goal will be accompanied by three action items that will work hand in hand with the goal t</w:t>
      </w:r>
      <w:r>
        <w:rPr>
          <w:sz w:val="24"/>
          <w:szCs w:val="24"/>
        </w:rPr>
        <w:t xml:space="preserve">o foresee its actualization and articulation. The action items include </w:t>
      </w:r>
      <w:r>
        <w:rPr>
          <w:sz w:val="24"/>
          <w:szCs w:val="24"/>
        </w:rPr>
        <w:t>educational accountability, reading interventions and development, behavioral consideration, performance check, and motivational approaches.</w:t>
      </w:r>
    </w:p>
    <w:p>
      <w:pPr>
        <w:pStyle w:val="style0"/>
        <w:spacing w:lineRule="auto" w:line="480"/>
        <w:jc w:val="center"/>
        <w:rPr>
          <w:sz w:val="24"/>
          <w:szCs w:val="24"/>
        </w:rPr>
      </w:pPr>
      <w:r>
        <w:rPr>
          <w:sz w:val="24"/>
          <w:szCs w:val="24"/>
        </w:rPr>
        <w:t>Educational accountability</w:t>
      </w:r>
    </w:p>
    <w:p>
      <w:pPr>
        <w:pStyle w:val="style0"/>
        <w:spacing w:lineRule="auto" w:line="480"/>
        <w:ind w:firstLine="720"/>
        <w:rPr>
          <w:sz w:val="24"/>
          <w:szCs w:val="24"/>
        </w:rPr>
      </w:pPr>
      <w:r>
        <w:rPr>
          <w:sz w:val="24"/>
          <w:szCs w:val="24"/>
        </w:rPr>
        <w:t>Educational accou</w:t>
      </w:r>
      <w:r>
        <w:rPr>
          <w:sz w:val="24"/>
          <w:szCs w:val="24"/>
        </w:rPr>
        <w:t>ntability ensures that teachers apply and keep an eye on the learners' rejoinders to the affirmative</w:t>
      </w:r>
      <w:r>
        <w:rPr>
          <w:sz w:val="24"/>
          <w:szCs w:val="24"/>
        </w:rPr>
        <w:t xml:space="preserve"> behavioral arrangement</w:t>
      </w:r>
      <w:r>
        <w:rPr>
          <w:sz w:val="24"/>
          <w:szCs w:val="24"/>
        </w:rPr>
        <w:t xml:space="preserve"> within the school environment and communicate the information</w:t>
      </w:r>
      <w:r>
        <w:rPr>
          <w:sz w:val="24"/>
          <w:szCs w:val="24"/>
        </w:rPr>
        <w:t xml:space="preserve"> and intelligence gathered</w:t>
      </w:r>
      <w:r>
        <w:rPr>
          <w:sz w:val="24"/>
          <w:szCs w:val="24"/>
        </w:rPr>
        <w:t xml:space="preserve"> to the appropriate and concerned parties. </w:t>
      </w:r>
      <w:r>
        <w:rPr>
          <w:sz w:val="24"/>
          <w:szCs w:val="24"/>
        </w:rPr>
        <w:t xml:space="preserve">This will be possible through direct system observations, the introduction of products that are permanent, and behavioral report cards. These methodologies will assist in determining the academic progress of the students as well as that of the school. Some considerations that accompany the techniques include intrusiveness, </w:t>
      </w:r>
      <w:r>
        <w:rPr>
          <w:sz w:val="24"/>
          <w:szCs w:val="24"/>
        </w:rPr>
        <w:t xml:space="preserve">fit and its goodness, and generalization. Back up methods will be introduced in the case where the initially mentioned approaches yield low results. </w:t>
      </w:r>
    </w:p>
    <w:p>
      <w:pPr>
        <w:pStyle w:val="style0"/>
        <w:spacing w:lineRule="auto" w:line="480"/>
        <w:jc w:val="center"/>
        <w:rPr>
          <w:sz w:val="24"/>
          <w:szCs w:val="24"/>
        </w:rPr>
      </w:pPr>
      <w:r>
        <w:rPr>
          <w:sz w:val="24"/>
          <w:szCs w:val="24"/>
        </w:rPr>
        <w:t>Reading interventions and development.</w:t>
      </w:r>
    </w:p>
    <w:p>
      <w:pPr>
        <w:pStyle w:val="style0"/>
        <w:spacing w:lineRule="auto" w:line="480"/>
        <w:ind w:firstLine="720"/>
        <w:rPr>
          <w:sz w:val="24"/>
          <w:szCs w:val="24"/>
        </w:rPr>
      </w:pPr>
      <w:r>
        <w:rPr>
          <w:sz w:val="24"/>
          <w:szCs w:val="24"/>
        </w:rPr>
        <w:t>The reading interventions and development is a curriculum based measurement to assess the reading progress of the learners. The educators will utilize it in the construction and implementation of curriculum-based measurement to track learners' reading prog</w:t>
      </w:r>
      <w:r>
        <w:rPr>
          <w:sz w:val="24"/>
          <w:szCs w:val="24"/>
        </w:rPr>
        <w:t xml:space="preserve">ress. </w:t>
      </w:r>
      <w:r>
        <w:rPr>
          <w:sz w:val="24"/>
          <w:szCs w:val="24"/>
        </w:rPr>
        <w:t>The procedure involves educators, learners, an</w:t>
      </w:r>
      <w:r>
        <w:rPr>
          <w:sz w:val="24"/>
          <w:szCs w:val="24"/>
        </w:rPr>
        <w:t>d parents in progress superintendence</w:t>
      </w:r>
      <w:r>
        <w:rPr>
          <w:sz w:val="24"/>
          <w:szCs w:val="24"/>
        </w:rPr>
        <w:t xml:space="preserve">. </w:t>
      </w:r>
      <w:r>
        <w:rPr>
          <w:sz w:val="24"/>
          <w:szCs w:val="24"/>
        </w:rPr>
        <w:t>It has procedural steps that provide information on how to establish and consolidate a curriculum based measurement, administering scores on the curriculum based measurement, application of the infor</w:t>
      </w:r>
      <w:r>
        <w:rPr>
          <w:sz w:val="24"/>
          <w:szCs w:val="24"/>
        </w:rPr>
        <w:t>mation for instructional changes, as well as how to utilize the data collected from the curriculum based measurement to inform parents about their children’s progress.</w:t>
      </w:r>
    </w:p>
    <w:p>
      <w:pPr>
        <w:pStyle w:val="style0"/>
        <w:spacing w:lineRule="auto" w:line="480"/>
        <w:jc w:val="center"/>
        <w:rPr>
          <w:sz w:val="24"/>
          <w:szCs w:val="24"/>
        </w:rPr>
      </w:pPr>
      <w:r>
        <w:rPr>
          <w:sz w:val="24"/>
          <w:szCs w:val="24"/>
        </w:rPr>
        <w:t>Behavioral consideration, performance check as well as</w:t>
      </w:r>
      <w:r>
        <w:rPr>
          <w:sz w:val="24"/>
          <w:szCs w:val="24"/>
        </w:rPr>
        <w:t xml:space="preserve"> motivational approaches</w:t>
      </w:r>
    </w:p>
    <w:p>
      <w:pPr>
        <w:pStyle w:val="style0"/>
        <w:spacing w:lineRule="auto" w:line="480"/>
        <w:ind w:firstLine="720"/>
        <w:rPr>
          <w:sz w:val="24"/>
          <w:szCs w:val="24"/>
        </w:rPr>
      </w:pPr>
      <w:r>
        <w:rPr>
          <w:sz w:val="24"/>
          <w:szCs w:val="24"/>
        </w:rPr>
        <w:t>This action item involves regular and continuous checking of the behavior of the students and the teachers</w:t>
      </w:r>
      <w:r>
        <w:rPr>
          <w:sz w:val="24"/>
          <w:szCs w:val="24"/>
        </w:rPr>
        <w:t>, checking on their performance and rewarding was necessary as a source of motivation and inspiration for a job well done. Behavioral consideration advocates for positive and goal oriented students with the urge and eagerness to learn, as performance checking involves assessing the students' academic progress and the teachers' efforts in ensuring that their educational needs are met. Motivational approaches are used as a driving force in ensuring that everyone is committed to meeting their expectations and outdoing themselves.</w:t>
      </w:r>
    </w:p>
    <w:p>
      <w:pPr>
        <w:pStyle w:val="style0"/>
        <w:spacing w:lineRule="auto" w:line="480"/>
        <w:ind w:firstLine="720"/>
        <w:rPr>
          <w:sz w:val="24"/>
          <w:szCs w:val="24"/>
        </w:rPr>
      </w:pPr>
      <w:r>
        <w:rPr>
          <w:sz w:val="24"/>
          <w:szCs w:val="24"/>
        </w:rPr>
        <w:t>The goal and its action items require finances for its implementation. Therefore, a budget allocation ma</w:t>
      </w:r>
      <w:r>
        <w:rPr>
          <w:sz w:val="24"/>
          <w:szCs w:val="24"/>
        </w:rPr>
        <w:t>y involve reimbursing funds from reallocations or sourcing the income from sponsors and investors within and out of the school.</w:t>
      </w:r>
      <w:r>
        <w:rPr>
          <w:sz w:val="24"/>
          <w:szCs w:val="24"/>
        </w:rPr>
        <w:t xml:space="preserve"> The entire goal realization will cost a </w:t>
      </w:r>
      <w:r>
        <w:rPr>
          <w:sz w:val="24"/>
          <w:szCs w:val="24"/>
        </w:rPr>
        <w:t xml:space="preserve">total sum of the United States $1 million. Due to the financial constraints within the current school budget, the school will seek financial help from the school sponsors. The following is the breakdown of the estimated cost: </w:t>
      </w:r>
    </w:p>
    <w:tbl>
      <w:tblPr>
        <w:tblStyle w:val="style154"/>
        <w:tblW w:w="0" w:type="auto"/>
        <w:tblLook w:val="04A0" w:firstRow="1" w:lastRow="0" w:firstColumn="1" w:lastColumn="0" w:noHBand="0" w:noVBand="1"/>
      </w:tblPr>
      <w:tblGrid>
        <w:gridCol w:w="3116"/>
        <w:gridCol w:w="3117"/>
        <w:gridCol w:w="3117"/>
      </w:tblGrid>
      <w:tr>
        <w:trPr/>
        <w:tc>
          <w:tcPr>
            <w:tcW w:w="3116" w:type="dxa"/>
            <w:tcBorders/>
          </w:tcPr>
          <w:p>
            <w:pPr>
              <w:pStyle w:val="style0"/>
              <w:rPr>
                <w:sz w:val="24"/>
                <w:szCs w:val="24"/>
              </w:rPr>
            </w:pPr>
            <w:r>
              <w:rPr>
                <w:sz w:val="24"/>
                <w:szCs w:val="24"/>
              </w:rPr>
              <w:t>Estimated Cost</w:t>
            </w:r>
          </w:p>
        </w:tc>
        <w:tc>
          <w:tcPr>
            <w:tcW w:w="3117" w:type="dxa"/>
            <w:tcBorders/>
          </w:tcPr>
          <w:p>
            <w:pPr>
              <w:pStyle w:val="style0"/>
              <w:rPr>
                <w:sz w:val="24"/>
                <w:szCs w:val="24"/>
              </w:rPr>
            </w:pPr>
            <w:r>
              <w:rPr>
                <w:sz w:val="24"/>
                <w:szCs w:val="24"/>
              </w:rPr>
              <w:t xml:space="preserve">Item </w:t>
            </w:r>
          </w:p>
        </w:tc>
        <w:tc>
          <w:tcPr>
            <w:tcW w:w="3117" w:type="dxa"/>
            <w:tcBorders/>
          </w:tcPr>
          <w:p>
            <w:pPr>
              <w:pStyle w:val="style0"/>
              <w:rPr>
                <w:sz w:val="24"/>
                <w:szCs w:val="24"/>
              </w:rPr>
            </w:pPr>
            <w:r>
              <w:rPr>
                <w:sz w:val="24"/>
                <w:szCs w:val="24"/>
              </w:rPr>
              <w:t xml:space="preserve">Duration </w:t>
            </w:r>
          </w:p>
        </w:tc>
      </w:tr>
      <w:tr>
        <w:tblPrEx/>
        <w:trPr/>
        <w:tc>
          <w:tcPr>
            <w:tcW w:w="3116" w:type="dxa"/>
            <w:tcBorders/>
          </w:tcPr>
          <w:p>
            <w:pPr>
              <w:pStyle w:val="style0"/>
              <w:rPr>
                <w:sz w:val="24"/>
                <w:szCs w:val="24"/>
              </w:rPr>
            </w:pPr>
            <w:r>
              <w:rPr>
                <w:sz w:val="24"/>
                <w:szCs w:val="24"/>
              </w:rPr>
              <w:t>$</w:t>
            </w:r>
            <w:r>
              <w:rPr>
                <w:sz w:val="24"/>
                <w:szCs w:val="24"/>
              </w:rPr>
              <w:t>400,000</w:t>
            </w:r>
          </w:p>
        </w:tc>
        <w:tc>
          <w:tcPr>
            <w:tcW w:w="3117" w:type="dxa"/>
            <w:tcBorders/>
          </w:tcPr>
          <w:p>
            <w:pPr>
              <w:pStyle w:val="style0"/>
              <w:rPr>
                <w:sz w:val="24"/>
                <w:szCs w:val="24"/>
              </w:rPr>
            </w:pPr>
            <w:r>
              <w:rPr>
                <w:sz w:val="24"/>
                <w:szCs w:val="24"/>
              </w:rPr>
              <w:t>Stage implementation of the action items.</w:t>
            </w:r>
          </w:p>
        </w:tc>
        <w:tc>
          <w:tcPr>
            <w:tcW w:w="3117" w:type="dxa"/>
            <w:tcBorders/>
          </w:tcPr>
          <w:p>
            <w:pPr>
              <w:pStyle w:val="style0"/>
              <w:rPr>
                <w:sz w:val="24"/>
                <w:szCs w:val="24"/>
              </w:rPr>
            </w:pPr>
            <w:r>
              <w:rPr>
                <w:sz w:val="24"/>
                <w:szCs w:val="24"/>
              </w:rPr>
              <w:t>Six months to 1 year</w:t>
            </w:r>
          </w:p>
        </w:tc>
      </w:tr>
      <w:tr>
        <w:tblPrEx/>
        <w:trPr/>
        <w:tc>
          <w:tcPr>
            <w:tcW w:w="3116" w:type="dxa"/>
            <w:tcBorders/>
          </w:tcPr>
          <w:p>
            <w:pPr>
              <w:pStyle w:val="style0"/>
              <w:rPr>
                <w:sz w:val="24"/>
                <w:szCs w:val="24"/>
              </w:rPr>
            </w:pPr>
            <w:r>
              <w:rPr>
                <w:sz w:val="24"/>
                <w:szCs w:val="24"/>
              </w:rPr>
              <w:t>$100,000</w:t>
            </w:r>
          </w:p>
        </w:tc>
        <w:tc>
          <w:tcPr>
            <w:tcW w:w="3117" w:type="dxa"/>
            <w:tcBorders/>
          </w:tcPr>
          <w:p>
            <w:pPr>
              <w:pStyle w:val="style0"/>
              <w:rPr>
                <w:sz w:val="24"/>
                <w:szCs w:val="24"/>
              </w:rPr>
            </w:pPr>
            <w:r>
              <w:rPr>
                <w:sz w:val="24"/>
                <w:szCs w:val="24"/>
              </w:rPr>
              <w:t>Restructuring of the school curriculum to fit the requirements of the goal.</w:t>
            </w:r>
          </w:p>
        </w:tc>
        <w:tc>
          <w:tcPr>
            <w:tcW w:w="3117" w:type="dxa"/>
            <w:tcBorders/>
          </w:tcPr>
          <w:p>
            <w:pPr>
              <w:pStyle w:val="style0"/>
              <w:rPr>
                <w:sz w:val="24"/>
                <w:szCs w:val="24"/>
              </w:rPr>
            </w:pPr>
            <w:r>
              <w:rPr>
                <w:sz w:val="24"/>
                <w:szCs w:val="24"/>
              </w:rPr>
              <w:t>Two months to 3 months.</w:t>
            </w:r>
          </w:p>
        </w:tc>
      </w:tr>
      <w:tr>
        <w:tblPrEx/>
        <w:trPr/>
        <w:tc>
          <w:tcPr>
            <w:tcW w:w="3116" w:type="dxa"/>
            <w:tcBorders/>
          </w:tcPr>
          <w:p>
            <w:pPr>
              <w:pStyle w:val="style0"/>
              <w:rPr>
                <w:sz w:val="24"/>
                <w:szCs w:val="24"/>
              </w:rPr>
            </w:pPr>
            <w:r>
              <w:rPr>
                <w:sz w:val="24"/>
                <w:szCs w:val="24"/>
              </w:rPr>
              <w:t>$200,000</w:t>
            </w:r>
          </w:p>
        </w:tc>
        <w:tc>
          <w:tcPr>
            <w:tcW w:w="3117" w:type="dxa"/>
            <w:tcBorders/>
          </w:tcPr>
          <w:p>
            <w:pPr>
              <w:pStyle w:val="style0"/>
              <w:rPr>
                <w:sz w:val="24"/>
                <w:szCs w:val="24"/>
              </w:rPr>
            </w:pPr>
            <w:r>
              <w:rPr>
                <w:sz w:val="24"/>
                <w:szCs w:val="24"/>
              </w:rPr>
              <w:t>Application of monitoring and assessment techniques.</w:t>
            </w:r>
          </w:p>
        </w:tc>
        <w:tc>
          <w:tcPr>
            <w:tcW w:w="3117" w:type="dxa"/>
            <w:tcBorders/>
          </w:tcPr>
          <w:p>
            <w:pPr>
              <w:pStyle w:val="style0"/>
              <w:rPr>
                <w:sz w:val="24"/>
                <w:szCs w:val="24"/>
              </w:rPr>
            </w:pPr>
            <w:r>
              <w:rPr>
                <w:sz w:val="24"/>
                <w:szCs w:val="24"/>
              </w:rPr>
              <w:t>Monthly since it is a continuous process.</w:t>
            </w:r>
          </w:p>
        </w:tc>
      </w:tr>
      <w:tr>
        <w:tblPrEx/>
        <w:trPr/>
        <w:tc>
          <w:tcPr>
            <w:tcW w:w="3116" w:type="dxa"/>
            <w:tcBorders/>
          </w:tcPr>
          <w:p>
            <w:pPr>
              <w:pStyle w:val="style0"/>
              <w:rPr>
                <w:sz w:val="24"/>
                <w:szCs w:val="24"/>
              </w:rPr>
            </w:pPr>
            <w:r>
              <w:rPr>
                <w:sz w:val="24"/>
                <w:szCs w:val="24"/>
              </w:rPr>
              <w:t>$100,000</w:t>
            </w:r>
          </w:p>
        </w:tc>
        <w:tc>
          <w:tcPr>
            <w:tcW w:w="3117" w:type="dxa"/>
            <w:tcBorders/>
          </w:tcPr>
          <w:p>
            <w:pPr>
              <w:pStyle w:val="style0"/>
              <w:rPr>
                <w:sz w:val="24"/>
                <w:szCs w:val="24"/>
              </w:rPr>
            </w:pPr>
            <w:r>
              <w:rPr>
                <w:sz w:val="24"/>
                <w:szCs w:val="24"/>
              </w:rPr>
              <w:t>Restocking the school supplies and resour</w:t>
            </w:r>
            <w:r>
              <w:rPr>
                <w:sz w:val="24"/>
                <w:szCs w:val="24"/>
              </w:rPr>
              <w:t>ces necessary for curriculum based measurement</w:t>
            </w:r>
          </w:p>
        </w:tc>
        <w:tc>
          <w:tcPr>
            <w:tcW w:w="3117" w:type="dxa"/>
            <w:tcBorders/>
          </w:tcPr>
          <w:p>
            <w:pPr>
              <w:pStyle w:val="style0"/>
              <w:rPr>
                <w:sz w:val="24"/>
                <w:szCs w:val="24"/>
              </w:rPr>
            </w:pPr>
            <w:r>
              <w:rPr>
                <w:sz w:val="24"/>
                <w:szCs w:val="24"/>
              </w:rPr>
              <w:t>One month to 2 months.</w:t>
            </w:r>
          </w:p>
        </w:tc>
      </w:tr>
      <w:tr>
        <w:tblPrEx/>
        <w:trPr/>
        <w:tc>
          <w:tcPr>
            <w:tcW w:w="3116" w:type="dxa"/>
            <w:tcBorders/>
          </w:tcPr>
          <w:p>
            <w:pPr>
              <w:pStyle w:val="style0"/>
              <w:rPr>
                <w:sz w:val="24"/>
                <w:szCs w:val="24"/>
              </w:rPr>
            </w:pPr>
            <w:r>
              <w:rPr>
                <w:sz w:val="24"/>
                <w:szCs w:val="24"/>
              </w:rPr>
              <w:t>$200,000</w:t>
            </w:r>
          </w:p>
        </w:tc>
        <w:tc>
          <w:tcPr>
            <w:tcW w:w="3117" w:type="dxa"/>
            <w:tcBorders/>
          </w:tcPr>
          <w:p>
            <w:pPr>
              <w:pStyle w:val="style0"/>
              <w:rPr>
                <w:sz w:val="24"/>
                <w:szCs w:val="24"/>
              </w:rPr>
            </w:pPr>
            <w:r>
              <w:rPr>
                <w:sz w:val="24"/>
                <w:szCs w:val="24"/>
              </w:rPr>
              <w:t>For further requirements and resource acquisition.</w:t>
            </w:r>
          </w:p>
        </w:tc>
        <w:tc>
          <w:tcPr>
            <w:tcW w:w="3117" w:type="dxa"/>
            <w:tcBorders/>
          </w:tcPr>
          <w:p>
            <w:pPr>
              <w:pStyle w:val="style0"/>
              <w:rPr>
                <w:sz w:val="24"/>
                <w:szCs w:val="24"/>
              </w:rPr>
            </w:pPr>
          </w:p>
        </w:tc>
      </w:tr>
    </w:tbl>
    <w:p>
      <w:pPr>
        <w:pStyle w:val="style0"/>
        <w:spacing w:lineRule="auto" w:line="480"/>
        <w:rPr>
          <w:sz w:val="24"/>
          <w:szCs w:val="24"/>
        </w:rPr>
      </w:pPr>
    </w:p>
    <w:p>
      <w:pPr>
        <w:pStyle w:val="style0"/>
        <w:spacing w:lineRule="auto" w:line="480"/>
        <w:ind w:firstLine="720"/>
        <w:rPr>
          <w:sz w:val="24"/>
          <w:szCs w:val="24"/>
        </w:rPr>
      </w:pPr>
      <w:r>
        <w:rPr>
          <w:sz w:val="24"/>
          <w:szCs w:val="24"/>
        </w:rPr>
        <w:t xml:space="preserve">With the consolidation of the goal budget compared to the current school budget, the new school budget will accumulate to </w:t>
      </w:r>
      <w:r>
        <w:rPr>
          <w:sz w:val="24"/>
          <w:szCs w:val="24"/>
        </w:rPr>
        <w:t>US $5 million since the school's budget is currently at US $4 million. The budget will improve academic performance and cater to other considerations and services offered within the school premises.</w:t>
      </w:r>
    </w:p>
    <w:p>
      <w:pPr>
        <w:pStyle w:val="style0"/>
        <w:spacing w:lineRule="auto" w:line="480"/>
        <w:rPr>
          <w:sz w:val="24"/>
          <w:szCs w:val="24"/>
        </w:rPr>
      </w:pPr>
    </w:p>
    <w:p>
      <w:pPr>
        <w:pStyle w:val="style0"/>
        <w:spacing w:lineRule="auto" w:line="480"/>
        <w:rPr>
          <w:sz w:val="24"/>
          <w:szCs w:val="24"/>
        </w:rPr>
      </w:pPr>
    </w:p>
    <w:p>
      <w:pPr>
        <w:pStyle w:val="style0"/>
        <w:spacing w:lineRule="auto" w:line="480"/>
        <w:rPr>
          <w:sz w:val="24"/>
          <w:szCs w:val="24"/>
        </w:rPr>
      </w:pPr>
    </w:p>
    <w:p>
      <w:pPr>
        <w:pStyle w:val="style0"/>
        <w:spacing w:lineRule="auto" w:line="480"/>
        <w:rPr>
          <w:sz w:val="24"/>
          <w:szCs w:val="24"/>
        </w:rPr>
      </w:pPr>
    </w:p>
    <w:p>
      <w:pPr>
        <w:pStyle w:val="style0"/>
        <w:spacing w:lineRule="auto" w:line="480"/>
        <w:rPr>
          <w:sz w:val="24"/>
          <w:szCs w:val="24"/>
        </w:rPr>
      </w:pPr>
    </w:p>
    <w:p>
      <w:pPr>
        <w:pStyle w:val="style0"/>
        <w:spacing w:lineRule="auto" w:line="480"/>
        <w:rPr>
          <w:sz w:val="24"/>
          <w:szCs w:val="24"/>
        </w:rPr>
      </w:pPr>
    </w:p>
    <w:p>
      <w:pPr>
        <w:pStyle w:val="style0"/>
        <w:spacing w:lineRule="auto" w:line="480"/>
        <w:rPr>
          <w:sz w:val="24"/>
          <w:szCs w:val="24"/>
        </w:rPr>
      </w:pPr>
    </w:p>
    <w:p>
      <w:pPr>
        <w:pStyle w:val="style0"/>
        <w:spacing w:lineRule="auto" w:line="480"/>
        <w:rPr>
          <w:sz w:val="24"/>
          <w:szCs w:val="24"/>
        </w:rPr>
      </w:pPr>
    </w:p>
    <w:p>
      <w:pPr>
        <w:pStyle w:val="style0"/>
        <w:spacing w:lineRule="auto" w:line="480"/>
        <w:rPr>
          <w:sz w:val="24"/>
          <w:szCs w:val="24"/>
        </w:rPr>
      </w:pPr>
    </w:p>
    <w:p>
      <w:pPr>
        <w:pStyle w:val="style0"/>
        <w:spacing w:lineRule="auto" w:line="480"/>
        <w:rPr>
          <w:sz w:val="24"/>
          <w:szCs w:val="24"/>
        </w:rPr>
      </w:pPr>
    </w:p>
    <w:p>
      <w:pPr>
        <w:pStyle w:val="style0"/>
        <w:spacing w:lineRule="auto" w:line="480"/>
        <w:rPr>
          <w:sz w:val="24"/>
          <w:szCs w:val="24"/>
        </w:rPr>
      </w:pPr>
    </w:p>
    <w:p>
      <w:pPr>
        <w:pStyle w:val="style0"/>
        <w:spacing w:lineRule="auto" w:line="480"/>
        <w:ind w:firstLine="720"/>
        <w:rPr>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SURNAME </w:t>
    </w:r>
    <w:r>
      <w:rPr/>
      <w:fldChar w:fldCharType="begin"/>
    </w:r>
    <w:r>
      <w:instrText xml:space="preserve"> PAGE   \* MERGEFORMAT </w:instrText>
    </w:r>
    <w:r>
      <w:rPr/>
      <w:fldChar w:fldCharType="separate"/>
    </w:r>
    <w:r>
      <w:rPr>
        <w:noProof/>
      </w:rPr>
      <w:t>3</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b805ec6-3f24-4af7-aa75-f90f239c9a9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a846a85-26c6-449d-be4d-6e8445c8e660"/>
    <w:basedOn w:val="style65"/>
    <w:next w:val="style4098"/>
    <w:link w:val="style32"/>
    <w:uiPriority w:val="99"/>
  </w:style>
  <w:style w:type="table" w:styleId="style154">
    <w:name w:val="Table Grid"/>
    <w:basedOn w:val="style105"/>
    <w:next w:val="style154"/>
    <w:uiPriority w:val="3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846</Words>
  <Pages>5</Pages>
  <Characters>5050</Characters>
  <Application>WPS Office</Application>
  <DocSecurity>0</DocSecurity>
  <Paragraphs>57</Paragraphs>
  <ScaleCrop>false</ScaleCrop>
  <LinksUpToDate>false</LinksUpToDate>
  <CharactersWithSpaces>5996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2021-10-16T05:34:41Z</dcterms:created>
  <dc:creator>EDWIN</dc:creator>
  <lastModifiedBy>Infinix X559</lastModifiedBy>
  <dcterms:modified xsi:type="dcterms:W3CDTF">2021-10-16T05:34:42Z</dcterms:modified>
  <revision>3</revision>
</coreProperties>
</file>

<file path=docProps/custom.xml><?xml version="1.0" encoding="utf-8"?>
<Properties xmlns="http://schemas.openxmlformats.org/officeDocument/2006/custom-properties" xmlns:vt="http://schemas.openxmlformats.org/officeDocument/2006/docPropsVTypes"/>
</file>